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2E56A9">
              <w:rPr>
                <w:u w:val="single"/>
              </w:rPr>
              <w:t>Ап</w:t>
            </w:r>
            <w:r w:rsidR="00B76E24">
              <w:rPr>
                <w:u w:val="single"/>
              </w:rPr>
              <w:t>р</w:t>
            </w:r>
            <w:r w:rsidR="002E56A9">
              <w:rPr>
                <w:u w:val="single"/>
              </w:rPr>
              <w:t>ель</w:t>
            </w:r>
            <w:bookmarkStart w:id="0" w:name="_GoBack"/>
            <w:bookmarkEnd w:id="0"/>
            <w:r>
              <w:t>__ месяц _</w:t>
            </w:r>
            <w:r w:rsidRPr="00665FAA">
              <w:rPr>
                <w:u w:val="single"/>
              </w:rPr>
              <w:t>202</w:t>
            </w:r>
            <w:r w:rsidR="00C1042C">
              <w:rPr>
                <w:u w:val="single"/>
              </w:rPr>
              <w:t>5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EB392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EB3927">
              <w:rPr>
                <w:szCs w:val="20"/>
              </w:rPr>
              <w:t xml:space="preserve"> 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2E56A9"/>
    <w:rsid w:val="00322212"/>
    <w:rsid w:val="00360FD1"/>
    <w:rsid w:val="004426C1"/>
    <w:rsid w:val="004461A6"/>
    <w:rsid w:val="00524319"/>
    <w:rsid w:val="00592072"/>
    <w:rsid w:val="005B4141"/>
    <w:rsid w:val="00665FAA"/>
    <w:rsid w:val="006A4C1F"/>
    <w:rsid w:val="0070405D"/>
    <w:rsid w:val="008225E9"/>
    <w:rsid w:val="00837C85"/>
    <w:rsid w:val="00904C6A"/>
    <w:rsid w:val="00927CFC"/>
    <w:rsid w:val="009D7E2F"/>
    <w:rsid w:val="009E1177"/>
    <w:rsid w:val="00B76E24"/>
    <w:rsid w:val="00B937F9"/>
    <w:rsid w:val="00BB5DFD"/>
    <w:rsid w:val="00BD64A9"/>
    <w:rsid w:val="00C1042C"/>
    <w:rsid w:val="00C34F3A"/>
    <w:rsid w:val="00C77F03"/>
    <w:rsid w:val="00D34DF4"/>
    <w:rsid w:val="00D90892"/>
    <w:rsid w:val="00DA18E8"/>
    <w:rsid w:val="00DB197F"/>
    <w:rsid w:val="00DB2723"/>
    <w:rsid w:val="00E45D50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7C1E7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4</cp:revision>
  <dcterms:created xsi:type="dcterms:W3CDTF">2025-03-13T12:38:00Z</dcterms:created>
  <dcterms:modified xsi:type="dcterms:W3CDTF">2025-05-20T06:59:00Z</dcterms:modified>
</cp:coreProperties>
</file>